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6A6ED8DE" w:rsidR="001A09A4" w:rsidRPr="00203BDF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01E12B42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02569303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2382557E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690703F" w:rsidR="00935397" w:rsidRPr="00935397" w:rsidRDefault="009353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D16E77E" w14:textId="77777777" w:rsidR="00D62930" w:rsidRDefault="00935397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6412548C" w:rsidR="001A09A4" w:rsidRPr="006A202A" w:rsidRDefault="00D62930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F4F2CC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2E4270FA" w:rsidR="00D62930" w:rsidRPr="00675F08" w:rsidRDefault="00D62930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85"/>
        <w:gridCol w:w="350"/>
        <w:gridCol w:w="350"/>
        <w:gridCol w:w="428"/>
        <w:gridCol w:w="1264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67"/>
        <w:gridCol w:w="285"/>
        <w:gridCol w:w="350"/>
        <w:gridCol w:w="350"/>
        <w:gridCol w:w="260"/>
        <w:gridCol w:w="1261"/>
        <w:gridCol w:w="285"/>
        <w:gridCol w:w="350"/>
        <w:gridCol w:w="410"/>
        <w:gridCol w:w="260"/>
        <w:gridCol w:w="1200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PRINCIPIOS GENERALES DEL DIBUJO TÉCNICO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TOPOGRAFÍA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GEOMETRÍA DESCRIPTIVA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ARQUITECTÓNICOS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REVESTIMIENTOS CONSTRUCTIVOS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MATERIALES, MEZCLAS Y ELEMENTOS EN CONSTRUCCIÓN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ESTRUCTURALES Y DE INSTALACIONES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ARQUITECTÓNICO INTEGRADOR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35397" w14:paraId="2366E676" w14:textId="77777777" w:rsidTr="000679BD">
        <w:tc>
          <w:tcPr>
            <w:tcW w:w="4196" w:type="dxa"/>
          </w:tcPr>
          <w:p w14:paraId="0D3335EC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00A866E5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57800F98" w14:textId="77777777" w:rsidR="00935397" w:rsidRPr="00656D05" w:rsidRDefault="003704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74D3443">
                <v:rect id="_x0000_i1025" style="width:0;height:1.5pt" o:hralign="center" o:hrstd="t" o:hr="t" fillcolor="gray" stroked="f"/>
              </w:pict>
            </w:r>
          </w:p>
          <w:p w14:paraId="66E32118" w14:textId="5492FC68" w:rsidR="00935397" w:rsidRDefault="007419A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2798A15" w14:textId="25EA0896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419A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BB324D6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992473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18093F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D279BF0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3962F29" w14:textId="77777777" w:rsidR="00935397" w:rsidRPr="00656D05" w:rsidRDefault="003704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7DABA8B">
                <v:rect id="_x0000_i1026" style="width:0;height:1.5pt" o:hralign="center" o:hrstd="t" o:hr="t" fillcolor="gray" stroked="f"/>
              </w:pict>
            </w:r>
          </w:p>
          <w:p w14:paraId="5C585B4E" w14:textId="77777777" w:rsidR="003704A5" w:rsidRDefault="003704A5" w:rsidP="003704A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8244B3A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F7B26FE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1DB91F4">
            <wp:simplePos x="0" y="0"/>
            <wp:positionH relativeFrom="page">
              <wp:posOffset>285115</wp:posOffset>
            </wp:positionH>
            <wp:positionV relativeFrom="page">
              <wp:posOffset>5476875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3BAE" w14:textId="77777777" w:rsidR="00E82254" w:rsidRDefault="00E82254">
      <w:r>
        <w:separator/>
      </w:r>
    </w:p>
  </w:endnote>
  <w:endnote w:type="continuationSeparator" w:id="0">
    <w:p w14:paraId="68D494FA" w14:textId="77777777" w:rsidR="00E82254" w:rsidRDefault="00E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05C971B" w:rsidR="004850B7" w:rsidRPr="00D62930" w:rsidRDefault="00D62930" w:rsidP="00D62930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D980" w14:textId="77777777" w:rsidR="00E82254" w:rsidRDefault="00E82254">
      <w:r>
        <w:separator/>
      </w:r>
    </w:p>
  </w:footnote>
  <w:footnote w:type="continuationSeparator" w:id="0">
    <w:p w14:paraId="18B453DF" w14:textId="77777777" w:rsidR="00E82254" w:rsidRDefault="00E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D11F" w14:textId="6720CED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433CAB6" wp14:editId="7C614369">
              <wp:simplePos x="0" y="0"/>
              <wp:positionH relativeFrom="margin">
                <wp:posOffset>6953250</wp:posOffset>
              </wp:positionH>
              <wp:positionV relativeFrom="paragraph">
                <wp:posOffset>117475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881B3" w14:textId="77777777" w:rsidR="00935397" w:rsidRDefault="00935397" w:rsidP="009353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CA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5pt;margin-top:9.2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" stroked="f">
              <v:textbox>
                <w:txbxContent>
                  <w:p w14:paraId="188881B3" w14:textId="77777777" w:rsidR="00935397" w:rsidRDefault="00935397" w:rsidP="009353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0D4B1E" w14:textId="27363F2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7968" behindDoc="0" locked="0" layoutInCell="1" allowOverlap="1" wp14:anchorId="39763E54" wp14:editId="20FB6D94">
          <wp:simplePos x="0" y="0"/>
          <wp:positionH relativeFrom="column">
            <wp:posOffset>168981</wp:posOffset>
          </wp:positionH>
          <wp:positionV relativeFrom="paragraph">
            <wp:posOffset>30421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BD4105" w14:textId="6E5FB3D8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374232D" w14:textId="77707684" w:rsidR="00935397" w:rsidRPr="006B6604" w:rsidRDefault="00935397" w:rsidP="009353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A640A35" w:rsidR="00EA52FA" w:rsidRPr="008068D9" w:rsidRDefault="00217F4C" w:rsidP="009353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AE85EDC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6685F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04A5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4D8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419A3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35397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2930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2254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378E4C-274F-4DAC-B1EF-7B85DB4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2023-07-20T16:46:00Z</dcterms:created>
  <dcterms:modified xsi:type="dcterms:W3CDTF">2025-04-14T16:16:00Z</dcterms:modified>
  <dc:identifier/>
  <dc:language/>
</cp:coreProperties>
</file>