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832903">
        <w:rPr>
          <w:bCs/>
          <w:sz w:val="14"/>
          <w:szCs w:val="14"/>
        </w:rPr>
        <w:t>INTERPRETACIÓN Y TRADUCCIÓN DEL IDIOMA INGLÉS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832903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Fonética y fonología del inglés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Elementos de la interpretación y la traducción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Estrategias de lectura aplicadas a la interpretación y la traducción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Producción oral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32903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Principios básicos de la interpretación y la traducción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Introducción a la gramática del idioma inglés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Aplicación de la gramática inglesa y fonológica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Producción de textos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832903" w:rsidRPr="00CD1986" w:rsidRDefault="00832903" w:rsidP="00832903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6D9" w:rsidRDefault="005D26D9" w:rsidP="00AA6FF9">
      <w:pPr>
        <w:spacing w:after="0" w:line="240" w:lineRule="auto"/>
      </w:pPr>
      <w:r>
        <w:separator/>
      </w:r>
    </w:p>
  </w:endnote>
  <w:endnote w:type="continuationSeparator" w:id="0">
    <w:p w:rsidR="005D26D9" w:rsidRDefault="005D26D9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6D9" w:rsidRDefault="005D26D9" w:rsidP="00AA6FF9">
      <w:pPr>
        <w:spacing w:after="0" w:line="240" w:lineRule="auto"/>
      </w:pPr>
      <w:r>
        <w:separator/>
      </w:r>
    </w:p>
  </w:footnote>
  <w:footnote w:type="continuationSeparator" w:id="0">
    <w:p w:rsidR="005D26D9" w:rsidRDefault="005D26D9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5A30"/>
    <w:rsid w:val="00091042"/>
    <w:rsid w:val="000F1B2F"/>
    <w:rsid w:val="00102BD9"/>
    <w:rsid w:val="001045AF"/>
    <w:rsid w:val="001745FC"/>
    <w:rsid w:val="0018684B"/>
    <w:rsid w:val="001A02C2"/>
    <w:rsid w:val="0023130F"/>
    <w:rsid w:val="002478AD"/>
    <w:rsid w:val="0028055A"/>
    <w:rsid w:val="002E1BCB"/>
    <w:rsid w:val="002F3A86"/>
    <w:rsid w:val="00300A9E"/>
    <w:rsid w:val="003033F1"/>
    <w:rsid w:val="00330AFE"/>
    <w:rsid w:val="003C29BE"/>
    <w:rsid w:val="00411F7D"/>
    <w:rsid w:val="004B0EF0"/>
    <w:rsid w:val="004B2D58"/>
    <w:rsid w:val="004D7317"/>
    <w:rsid w:val="004E2E31"/>
    <w:rsid w:val="005A2EEB"/>
    <w:rsid w:val="005D26D9"/>
    <w:rsid w:val="00607B04"/>
    <w:rsid w:val="00626803"/>
    <w:rsid w:val="006E51F0"/>
    <w:rsid w:val="0076196B"/>
    <w:rsid w:val="0077270E"/>
    <w:rsid w:val="00776AA4"/>
    <w:rsid w:val="007964F5"/>
    <w:rsid w:val="007E32DA"/>
    <w:rsid w:val="00832903"/>
    <w:rsid w:val="00840EC8"/>
    <w:rsid w:val="00856A69"/>
    <w:rsid w:val="00892345"/>
    <w:rsid w:val="008B485E"/>
    <w:rsid w:val="00905A83"/>
    <w:rsid w:val="00927DA2"/>
    <w:rsid w:val="00945A0A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57003"/>
    <w:rsid w:val="00C57458"/>
    <w:rsid w:val="00CD1986"/>
    <w:rsid w:val="00D531D0"/>
    <w:rsid w:val="00D551D2"/>
    <w:rsid w:val="00D640BF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42360"/>
    <w:rsid w:val="00955965"/>
    <w:rsid w:val="00BA108A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936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2025-11-19T19:48:00Z</dcterms:created>
  <dcterms:modified xsi:type="dcterms:W3CDTF">2025-11-19T19:49:00Z</dcterms:modified>
</cp:coreProperties>
</file>