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102A74">
        <w:rPr>
          <w:bCs/>
          <w:sz w:val="14"/>
          <w:szCs w:val="14"/>
        </w:rPr>
        <w:t xml:space="preserve">LABORATORISTA </w:t>
      </w:r>
      <w:r w:rsidR="00D83486">
        <w:rPr>
          <w:bCs/>
          <w:sz w:val="14"/>
          <w:szCs w:val="14"/>
        </w:rPr>
        <w:t>QUÍMICO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D83486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Conocimiento y legislación de un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Técnicas y tecnologías de un laboratorio químico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La estadística y su aplicación en el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Introducción a la biotecnología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D83486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Componentes básicos de un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Análisis cualitativo y cuantitativo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Microbiología general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jc w:val="center"/>
              <w:rPr>
                <w:sz w:val="10"/>
                <w:szCs w:val="10"/>
              </w:rPr>
            </w:pPr>
            <w:r w:rsidRPr="0013238A">
              <w:rPr>
                <w:sz w:val="10"/>
                <w:szCs w:val="10"/>
              </w:rPr>
              <w:t>Operaciones unitarias y biotecnológicas en la industria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D83486" w:rsidRPr="00CD1986" w:rsidRDefault="00D83486" w:rsidP="00D83486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C8E" w:rsidRDefault="00D22C8E" w:rsidP="00AA6FF9">
      <w:pPr>
        <w:spacing w:after="0" w:line="240" w:lineRule="auto"/>
      </w:pPr>
      <w:r>
        <w:separator/>
      </w:r>
    </w:p>
  </w:endnote>
  <w:endnote w:type="continuationSeparator" w:id="0">
    <w:p w:rsidR="00D22C8E" w:rsidRDefault="00D22C8E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C8E" w:rsidRDefault="00D22C8E" w:rsidP="00AA6FF9">
      <w:pPr>
        <w:spacing w:after="0" w:line="240" w:lineRule="auto"/>
      </w:pPr>
      <w:r>
        <w:separator/>
      </w:r>
    </w:p>
  </w:footnote>
  <w:footnote w:type="continuationSeparator" w:id="0">
    <w:p w:rsidR="00D22C8E" w:rsidRDefault="00D22C8E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5A30"/>
    <w:rsid w:val="00091042"/>
    <w:rsid w:val="000F1B2F"/>
    <w:rsid w:val="00102A74"/>
    <w:rsid w:val="00102BD9"/>
    <w:rsid w:val="001045AF"/>
    <w:rsid w:val="0011044D"/>
    <w:rsid w:val="001745FC"/>
    <w:rsid w:val="0018684B"/>
    <w:rsid w:val="001A02C2"/>
    <w:rsid w:val="0023130F"/>
    <w:rsid w:val="002478AD"/>
    <w:rsid w:val="0026436E"/>
    <w:rsid w:val="0028055A"/>
    <w:rsid w:val="002E1BCB"/>
    <w:rsid w:val="002F3A86"/>
    <w:rsid w:val="00300A9E"/>
    <w:rsid w:val="003033F1"/>
    <w:rsid w:val="00330AFE"/>
    <w:rsid w:val="003C29BE"/>
    <w:rsid w:val="00411F7D"/>
    <w:rsid w:val="004B0EF0"/>
    <w:rsid w:val="004B2D58"/>
    <w:rsid w:val="004D7317"/>
    <w:rsid w:val="004E2E31"/>
    <w:rsid w:val="005452B2"/>
    <w:rsid w:val="005A2EEB"/>
    <w:rsid w:val="00607B04"/>
    <w:rsid w:val="00626803"/>
    <w:rsid w:val="006E51F0"/>
    <w:rsid w:val="007253E1"/>
    <w:rsid w:val="0076196B"/>
    <w:rsid w:val="0077270E"/>
    <w:rsid w:val="00776AA4"/>
    <w:rsid w:val="007964F5"/>
    <w:rsid w:val="007E32DA"/>
    <w:rsid w:val="00832903"/>
    <w:rsid w:val="00840EC8"/>
    <w:rsid w:val="00856A69"/>
    <w:rsid w:val="00892345"/>
    <w:rsid w:val="008B485E"/>
    <w:rsid w:val="00905A83"/>
    <w:rsid w:val="00927DA2"/>
    <w:rsid w:val="00945A0A"/>
    <w:rsid w:val="00966DDD"/>
    <w:rsid w:val="00975037"/>
    <w:rsid w:val="009A07C8"/>
    <w:rsid w:val="009F51A1"/>
    <w:rsid w:val="00A229D9"/>
    <w:rsid w:val="00A26A61"/>
    <w:rsid w:val="00A32D03"/>
    <w:rsid w:val="00A80C98"/>
    <w:rsid w:val="00AA1426"/>
    <w:rsid w:val="00AA6FF9"/>
    <w:rsid w:val="00B03F1A"/>
    <w:rsid w:val="00B7547C"/>
    <w:rsid w:val="00BB08A6"/>
    <w:rsid w:val="00BC045A"/>
    <w:rsid w:val="00BD1EF3"/>
    <w:rsid w:val="00BF69EA"/>
    <w:rsid w:val="00C00B8E"/>
    <w:rsid w:val="00C15D79"/>
    <w:rsid w:val="00C57003"/>
    <w:rsid w:val="00C57458"/>
    <w:rsid w:val="00CD1986"/>
    <w:rsid w:val="00D22C8E"/>
    <w:rsid w:val="00D531D0"/>
    <w:rsid w:val="00D551D2"/>
    <w:rsid w:val="00D640BF"/>
    <w:rsid w:val="00D83486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50B06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5D14EB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2025-11-19T19:56:00Z</dcterms:created>
  <dcterms:modified xsi:type="dcterms:W3CDTF">2025-11-19T19:58:00Z</dcterms:modified>
</cp:coreProperties>
</file>