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08449A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EA143B">
        <w:rPr>
          <w:bCs/>
          <w:sz w:val="14"/>
          <w:szCs w:val="14"/>
        </w:rPr>
        <w:t>DISEÑO GRÁFICO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BD0E7CB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undamentos básicos del diseño gráfico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0315796A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eoría del color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1A996398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omunicación gráfica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D71C5D8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roductos de difusión masiva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6558A81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rogramas vectoriales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6A6670E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ipografía y productos editoriales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ABFCE84" w:rsidR="00B848CC" w:rsidRPr="003F6FD9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rogramas de edición de imágenes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21D2B84" w:rsidR="00B848CC" w:rsidRPr="00CD1986" w:rsidRDefault="006A331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bookmarkStart w:id="1" w:name="_GoBack"/>
            <w:bookmarkEnd w:id="1"/>
            <w:r w:rsidRPr="006A3311">
              <w:rPr>
                <w:color w:val="000000"/>
                <w:sz w:val="10"/>
                <w:szCs w:val="12"/>
                <w:lang w:eastAsia="es-MX"/>
              </w:rPr>
              <w:t>iseño de producto sustentable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199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D701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A3311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61b3eb68-281e-4a1a-b043-f6521625825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2026-06-04T22:27:00Z</dcterms:created>
  <dcterms:modified xsi:type="dcterms:W3CDTF">2026-06-04T22:31:00Z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