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7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MAPA CURRICULAR DEL BACHILLERATO TECNOLÓGICO CON CARRERA TÉCNICA EN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7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Marco Curricular Común de la Educación Media Superior Modelo Educativo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7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Opción Educativa presencial de la modalidad escolarizada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7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  <w:tab/>
        <w:tab/>
        <w:tab/>
        <w:t xml:space="preserve"> CCT: </w:t>
      </w:r>
    </w:p>
    <w:p w:rsidR="00000000" w:rsidDel="00000000" w:rsidP="00000000" w:rsidRDefault="00000000" w:rsidRPr="00000000" w14:paraId="00000006">
      <w:pPr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Domicilio:</w:t>
      </w:r>
      <w:r w:rsidDel="00000000" w:rsidR="00000000" w:rsidRPr="00000000">
        <w:rPr>
          <w:sz w:val="12"/>
          <w:szCs w:val="12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Fecha de autorización: </w:t>
      </w:r>
    </w:p>
    <w:tbl>
      <w:tblPr>
        <w:tblStyle w:val="Table1"/>
        <w:tblW w:w="14720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  <w:tblGridChange w:id="0">
          <w:tblGrid>
            <w:gridCol w:w="1351"/>
            <w:gridCol w:w="1507"/>
            <w:gridCol w:w="423"/>
            <w:gridCol w:w="246"/>
            <w:gridCol w:w="1586"/>
            <w:gridCol w:w="424"/>
            <w:gridCol w:w="236"/>
            <w:gridCol w:w="1578"/>
            <w:gridCol w:w="424"/>
            <w:gridCol w:w="256"/>
            <w:gridCol w:w="1576"/>
            <w:gridCol w:w="406"/>
            <w:gridCol w:w="236"/>
            <w:gridCol w:w="1578"/>
            <w:gridCol w:w="424"/>
            <w:gridCol w:w="236"/>
            <w:gridCol w:w="1578"/>
            <w:gridCol w:w="420"/>
            <w:gridCol w:w="23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Asignaturas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vertAlign w:val="superscript"/>
                <w:rtl w:val="0"/>
              </w:rPr>
              <w:t xml:space="preserve">er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HA.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3.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vertAlign w:val="superscript"/>
                <w:rtl w:val="0"/>
              </w:rPr>
              <w:t xml:space="preserve">er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4.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5.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6.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-106" w:right="-107" w:firstLine="0"/>
              <w:jc w:val="center"/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bCs w:val="1"/>
                <w:sz w:val="13"/>
                <w:szCs w:val="13"/>
                <w:rtl w:val="0"/>
              </w:rPr>
              <w:t xml:space="preserve">C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Lengua y comunicación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Lengua y comunicación I: Leer y escribir para pensarnos juntos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D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Lengua y comunicación II: Libertad para imaginar, poder para comunicar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F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0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Lengua y comunicación III: Describir culturas, apropiarse de las palabras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2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3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Pensamiento matemático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Pensamiento matemático I: Pensamiento aritmético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F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0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Pensamiento matemático II: Introducción al álgebra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2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3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Pensamiento matemático III: Pensamiento algebraico e introducción a la geometría plana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5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6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Pensamiento matemático IV: Trigonometría y geometría analítica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38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39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Pensamiento matemático V: Cálculo diferencial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3B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5/100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3C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10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Pensamiento matemático VI: Pensamiento estadístico y probabilístico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3E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5/100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3F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10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Conciencia histórica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Conciencia histórica I. Coordenadas de la historia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4B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4C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Conciencia histórica II. La experiencia histórica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4E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4F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0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Conciencia histórica III. Navegar en el tiempo: investigaciones históricas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1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2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Cultura digital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Cultura digital I: Ciudadanía digital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5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6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Cultura digital II: Aprendizaje individual y colaborativo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8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2/40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9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Ciencias Naturales, Experimentales y Tecnología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Ciencias Naturales, Experimentales y Tecnología I: Invitación a la ciencia. Naturaleza de la materia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8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9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Ciencias Naturales, Experimentales y Tecnología II: El poder de la energía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B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C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Ciencias Naturales, Experimentales y Tecnología III: Nuestro hogar. El sistema terrestre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E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F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Ciencias Naturales, Experimentales y Tecnología IV: El poder de la química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1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2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Ciencias Naturales, Experimentales y Tecnología V: Del átomo al universo. Fuerza y energía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4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5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Ciencias Naturales, Experimentales y Tecnología VI: ¿Qué es la vida? Evolución y diversidad biológica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7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8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Pensamiento filosófico y Humanidades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Pensamiento filosófico y Humanidades I: El ejercicio de filosofar y la perspectiva humanista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B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C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Pensamiento filosófico y Humanidades II: Las reflexiones filosóficas sobre el conocer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1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4/80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2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ind w:left="-80" w:right="-122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ind w:left="-80" w:right="-122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Pensamiento filosófico y Humanidades III: Las reflexiones filosóficas sobre el hacer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A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5/100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B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Ciencias sociales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Ciencias sociales I: Estado, ciudadanía y relaciones de poder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E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2/40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F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Ciencias sociales II: Organización, relaciones sociales y económicas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1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2/40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2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Ciencias sociales III: Las dinámicas de la realidad actual: la condición estudiantil al centro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7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2/40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8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Inglés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Inglés I: To be, or not to be, that is the question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1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2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Inglés II: These are a few of my favorite things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4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5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Inglés III: What we were, we share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7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8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Inglés IV: Should I stay or should I go?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A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B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Inglés V: We are the champions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AD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5/100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AE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ind w:left="-102" w:right="-43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Optativas del Componente de formación fundamental extendida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3d466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Asignatura fundamental extendida a elegir1</w:t>
            </w:r>
          </w:p>
        </w:tc>
        <w:tc>
          <w:tcPr>
            <w:shd w:fill="83d466" w:val="clear"/>
            <w:vAlign w:val="center"/>
          </w:tcPr>
          <w:p w:rsidR="00000000" w:rsidDel="00000000" w:rsidP="00000000" w:rsidRDefault="00000000" w:rsidRPr="00000000" w14:paraId="000000C0">
            <w:pPr>
              <w:ind w:left="-108" w:right="-108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83d466" w:val="clear"/>
            <w:vAlign w:val="center"/>
          </w:tcPr>
          <w:p w:rsidR="00000000" w:rsidDel="00000000" w:rsidP="00000000" w:rsidRDefault="00000000" w:rsidRPr="00000000" w14:paraId="000000C1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  <w:tc>
          <w:tcPr>
            <w:shd w:fill="83d466" w:val="clear"/>
            <w:vAlign w:val="center"/>
          </w:tcPr>
          <w:p w:rsidR="00000000" w:rsidDel="00000000" w:rsidP="00000000" w:rsidRDefault="00000000" w:rsidRPr="00000000" w14:paraId="000000C2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Asignatura fundamental extendida a elegir1</w:t>
            </w:r>
          </w:p>
        </w:tc>
        <w:tc>
          <w:tcPr>
            <w:shd w:fill="83d466" w:val="clear"/>
            <w:vAlign w:val="center"/>
          </w:tcPr>
          <w:p w:rsidR="00000000" w:rsidDel="00000000" w:rsidP="00000000" w:rsidRDefault="00000000" w:rsidRPr="00000000" w14:paraId="000000C3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3/60</w:t>
            </w:r>
          </w:p>
        </w:tc>
        <w:tc>
          <w:tcPr>
            <w:shd w:fill="83d466" w:val="clear"/>
            <w:vAlign w:val="center"/>
          </w:tcPr>
          <w:p w:rsidR="00000000" w:rsidDel="00000000" w:rsidP="00000000" w:rsidRDefault="00000000" w:rsidRPr="00000000" w14:paraId="000000C4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Competencias laborales básicas y extendidas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Módulo I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CA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17/340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CB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34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Módulo II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CD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17/340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CE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34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Módulo III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D0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17/340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D1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34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Módulo IV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D3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12/240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D4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24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Módulo V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D6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12/240</w:t>
            </w:r>
          </w:p>
        </w:tc>
        <w:tc>
          <w:tcPr>
            <w:shd w:fill="f7caac" w:val="clear"/>
            <w:vAlign w:val="center"/>
          </w:tcPr>
          <w:p w:rsidR="00000000" w:rsidDel="00000000" w:rsidP="00000000" w:rsidRDefault="00000000" w:rsidRPr="00000000" w14:paraId="000000D7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right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7 Asignaturas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460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 Asignaturas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 Módulo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700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70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5 Asignaturas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 Módulo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700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70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5 Asignaturas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 Módulo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660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5 Asignaturas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 Módulo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640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5 Asignaturas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 Módulo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ind w:left="-109" w:right="-109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640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ind w:left="-106" w:right="-107" w:firstLine="0"/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64</w:t>
            </w:r>
          </w:p>
        </w:tc>
      </w:tr>
    </w:tbl>
    <w:p w:rsidR="00000000" w:rsidDel="00000000" w:rsidP="00000000" w:rsidRDefault="00000000" w:rsidRPr="00000000" w14:paraId="000000F0">
      <w:pPr>
        <w:jc w:val="both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-284" w:firstLine="0"/>
        <w:jc w:val="both"/>
        <w:rPr>
          <w:rFonts w:ascii="Arial" w:cs="Arial" w:eastAsia="Arial" w:hAnsi="Arial"/>
          <w:b w:val="1"/>
          <w:bCs w:val="1"/>
          <w:sz w:val="12"/>
          <w:szCs w:val="12"/>
        </w:rPr>
      </w:pPr>
      <w:bookmarkStart w:colFirst="0" w:colLast="0" w:name="_heading=h.xfohx9t2bqah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12"/>
          <w:szCs w:val="1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= Créditos.  </w:t>
      </w:r>
      <w:r w:rsidDel="00000000" w:rsidR="00000000" w:rsidRPr="00000000">
        <w:rPr>
          <w:rFonts w:ascii="Arial" w:cs="Arial" w:eastAsia="Arial" w:hAnsi="Arial"/>
          <w:b w:val="1"/>
          <w:bCs w:val="1"/>
          <w:sz w:val="12"/>
          <w:szCs w:val="12"/>
          <w:rtl w:val="0"/>
        </w:rPr>
        <w:t xml:space="preserve">HA. 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Indican las horas de mediación docente a la semana y las horas totales de la asignatura al semestre, incluye el Estudio independiente, respectivamente, por ejemplo 3/60. </w:t>
      </w:r>
      <w:r w:rsidDel="00000000" w:rsidR="00000000" w:rsidRPr="00000000">
        <w:rPr>
          <w:rFonts w:ascii="Arial" w:cs="Arial" w:eastAsia="Arial" w:hAnsi="Arial"/>
          <w:b w:val="1"/>
          <w:bCs w:val="1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Las asignaturas de la formación fundamental extendida optativa no tienen requisitos de asignaturas o módulos previos, ni son un requisito para los módulos o las carreras del componente de formación laboral. El estudiante deberá acreditar dos asignaturas de la formación fundamental extendida (asignaturas optativas) que elija, o incluso de áreas diferentes.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Las horas y los créditos se asignan de conformidad con el Acuerdo número 01/02/24 por el que se emiten los Lineamientos Generales del Marco Nacional de Cualificaciones y el Sistema Nacional de Asignación, Acumulación y Transferencia de Créditos Académicos. (MNC-SNAATCA) 2024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El currículum ampliado (Acompañamiento a las trayectorias estudiantiles) se implementa en los Servicios educativos de EMS de manera transversal en la estructura curricular del plan de estudios, de acuerdo con las características y necesidades específicas de la comunidad estudiantil.</w:t>
      </w:r>
    </w:p>
    <w:p w:rsidR="00000000" w:rsidDel="00000000" w:rsidP="00000000" w:rsidRDefault="00000000" w:rsidRPr="00000000" w14:paraId="000000F5">
      <w:pPr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744" w:hanging="744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14"/>
          <w:szCs w:val="14"/>
        </w:rPr>
      </w:pPr>
      <w:bookmarkStart w:colFirst="0" w:colLast="0" w:name="_heading=h.wnpcfbip65c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  <w:bCs w:val="1"/>
          <w:sz w:val="14"/>
          <w:szCs w:val="14"/>
        </w:rPr>
      </w:pP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HORAS Y CRÉDITOS POR COMPONENTE DE FORMACIÓN DEL MCCEMS</w:t>
      </w:r>
    </w:p>
    <w:tbl>
      <w:tblPr>
        <w:tblStyle w:val="Table2"/>
        <w:tblW w:w="5098.0" w:type="dxa"/>
        <w:jc w:val="left"/>
        <w:tblLayout w:type="fixed"/>
        <w:tblLook w:val="0400"/>
      </w:tblPr>
      <w:tblGrid>
        <w:gridCol w:w="2972"/>
        <w:gridCol w:w="1134"/>
        <w:gridCol w:w="992"/>
        <w:tblGridChange w:id="0">
          <w:tblGrid>
            <w:gridCol w:w="2972"/>
            <w:gridCol w:w="1134"/>
            <w:gridCol w:w="99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Componente de formación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Horas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Créditos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a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Fundamental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2efda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2efda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180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Fundamental extendida (obligatorias)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380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38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9d08e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Fundamental extendida (optativas)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9d08e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9d08e" w:val="clear"/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8cbad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Laboral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8cbad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8cbad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150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3800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380</w:t>
            </w:r>
          </w:p>
        </w:tc>
      </w:tr>
    </w:tbl>
    <w:p w:rsidR="00000000" w:rsidDel="00000000" w:rsidP="00000000" w:rsidRDefault="00000000" w:rsidRPr="00000000" w14:paraId="0000010D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leader="none" w:pos="3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204773</wp:posOffset>
                </wp:positionH>
                <wp:positionV relativeFrom="paragraph">
                  <wp:posOffset>35532</wp:posOffset>
                </wp:positionV>
                <wp:extent cx="2696606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7697" y="3777088"/>
                          <a:ext cx="2696606" cy="5824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204773</wp:posOffset>
                </wp:positionH>
                <wp:positionV relativeFrom="paragraph">
                  <wp:posOffset>35532</wp:posOffset>
                </wp:positionV>
                <wp:extent cx="2696606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660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6281089</wp:posOffset>
                </wp:positionH>
                <wp:positionV relativeFrom="paragraph">
                  <wp:posOffset>33020</wp:posOffset>
                </wp:positionV>
                <wp:extent cx="274891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971543" y="3774285"/>
                          <a:ext cx="2748915" cy="1143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6281089</wp:posOffset>
                </wp:positionH>
                <wp:positionV relativeFrom="paragraph">
                  <wp:posOffset>33020</wp:posOffset>
                </wp:positionV>
                <wp:extent cx="274891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89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6140768</wp:posOffset>
                </wp:positionH>
                <wp:positionV relativeFrom="paragraph">
                  <wp:posOffset>29734</wp:posOffset>
                </wp:positionV>
                <wp:extent cx="2959494" cy="79513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871016" y="3387195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et" w:cs="Garet" w:eastAsia="Garet" w:hAnsi="Gare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Claudia Iliana Limón Aguirre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et" w:cs="Garet" w:eastAsia="Garet" w:hAnsi="Gare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et" w:cs="Garet" w:eastAsia="Garet" w:hAnsi="Gare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Titular del Área Académica de Educación Media Superior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6140768</wp:posOffset>
                </wp:positionH>
                <wp:positionV relativeFrom="paragraph">
                  <wp:posOffset>29734</wp:posOffset>
                </wp:positionV>
                <wp:extent cx="2959494" cy="795136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494" cy="7951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73979</wp:posOffset>
                </wp:positionH>
                <wp:positionV relativeFrom="paragraph">
                  <wp:posOffset>30798</wp:posOffset>
                </wp:positionV>
                <wp:extent cx="2959100" cy="7950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71213" y="3387253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et" w:cs="Garet" w:eastAsia="Garet" w:hAnsi="Gare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Juana Ávila Flores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et" w:cs="Garet" w:eastAsia="Garet" w:hAnsi="Gare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et" w:cs="Garet" w:eastAsia="Garet" w:hAnsi="Gare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Directora de Educación Media Superior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73979</wp:posOffset>
                </wp:positionH>
                <wp:positionV relativeFrom="paragraph">
                  <wp:posOffset>30798</wp:posOffset>
                </wp:positionV>
                <wp:extent cx="2959100" cy="7950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795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leader="none" w:pos="3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567" w:top="851" w:left="851" w:right="851" w:header="720" w:footer="1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Garet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-321" w:firstLine="0"/>
      <w:jc w:val="center"/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/2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8227917</wp:posOffset>
              </wp:positionH>
              <wp:positionV relativeFrom="paragraph">
                <wp:posOffset>-1790</wp:posOffset>
              </wp:positionV>
              <wp:extent cx="948786" cy="268318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76370" y="3650604"/>
                        <a:ext cx="939261" cy="2587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SEMS 2025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8227917</wp:posOffset>
              </wp:positionH>
              <wp:positionV relativeFrom="paragraph">
                <wp:posOffset>-1790</wp:posOffset>
              </wp:positionV>
              <wp:extent cx="948786" cy="268318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8786" cy="2683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SECRETARÍA DE EDUCACIÓN DEL ESTADO DE JALISCO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-208361</wp:posOffset>
          </wp:positionV>
          <wp:extent cx="1391055" cy="623017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7420293</wp:posOffset>
              </wp:positionH>
              <wp:positionV relativeFrom="paragraph">
                <wp:posOffset>-102281</wp:posOffset>
              </wp:positionV>
              <wp:extent cx="1562100" cy="5429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569713" y="351330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et" w:cs="Garet" w:eastAsia="Garet" w:hAnsi="Gare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Logo Institucional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7420293</wp:posOffset>
              </wp:positionH>
              <wp:positionV relativeFrom="paragraph">
                <wp:posOffset>-102281</wp:posOffset>
              </wp:positionV>
              <wp:extent cx="1562100" cy="54292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210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SUBSECRETARÍA DE EDUCACIÓN MEDIA SUPERIOR</w:t>
    </w:r>
  </w:p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Garet" w:cs="Garet" w:eastAsia="Garet" w:hAnsi="Gare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6" w:hanging="360"/>
      </w:pPr>
      <w:rPr/>
    </w:lvl>
    <w:lvl w:ilvl="1">
      <w:start w:val="1"/>
      <w:numFmt w:val="lowerLetter"/>
      <w:lvlText w:val="%2."/>
      <w:lvlJc w:val="left"/>
      <w:pPr>
        <w:ind w:left="796" w:hanging="360.00000000000006"/>
      </w:pPr>
      <w:rPr/>
    </w:lvl>
    <w:lvl w:ilvl="2">
      <w:start w:val="1"/>
      <w:numFmt w:val="lowerRoman"/>
      <w:lvlText w:val="%3."/>
      <w:lvlJc w:val="right"/>
      <w:pPr>
        <w:ind w:left="1516" w:hanging="180"/>
      </w:pPr>
      <w:rPr/>
    </w:lvl>
    <w:lvl w:ilvl="3">
      <w:start w:val="1"/>
      <w:numFmt w:val="decimal"/>
      <w:lvlText w:val="%4."/>
      <w:lvlJc w:val="left"/>
      <w:pPr>
        <w:ind w:left="2236" w:hanging="360"/>
      </w:pPr>
      <w:rPr/>
    </w:lvl>
    <w:lvl w:ilvl="4">
      <w:start w:val="1"/>
      <w:numFmt w:val="lowerLetter"/>
      <w:lvlText w:val="%5."/>
      <w:lvlJc w:val="left"/>
      <w:pPr>
        <w:ind w:left="2956" w:hanging="360"/>
      </w:pPr>
      <w:rPr/>
    </w:lvl>
    <w:lvl w:ilvl="5">
      <w:start w:val="1"/>
      <w:numFmt w:val="lowerRoman"/>
      <w:lvlText w:val="%6."/>
      <w:lvlJc w:val="right"/>
      <w:pPr>
        <w:ind w:left="3676" w:hanging="180"/>
      </w:pPr>
      <w:rPr/>
    </w:lvl>
    <w:lvl w:ilvl="6">
      <w:start w:val="1"/>
      <w:numFmt w:val="decimal"/>
      <w:lvlText w:val="%7."/>
      <w:lvlJc w:val="left"/>
      <w:pPr>
        <w:ind w:left="4396" w:hanging="360"/>
      </w:pPr>
      <w:rPr/>
    </w:lvl>
    <w:lvl w:ilvl="7">
      <w:start w:val="1"/>
      <w:numFmt w:val="lowerLetter"/>
      <w:lvlText w:val="%8."/>
      <w:lvlJc w:val="left"/>
      <w:pPr>
        <w:ind w:left="5116" w:hanging="360"/>
      </w:pPr>
      <w:rPr/>
    </w:lvl>
    <w:lvl w:ilvl="8">
      <w:start w:val="1"/>
      <w:numFmt w:val="lowerRoman"/>
      <w:lvlText w:val="%9."/>
      <w:lvlJc w:val="right"/>
      <w:pPr>
        <w:ind w:left="583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et" w:cs="Garet" w:eastAsia="Garet" w:hAnsi="Garet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3Ae20vJMz5H5IQvN1NeLu0aTfg==">CgMxLjAyDmgueGZvaHg5dDJicWFoMg5oLnducGNmYmlwNjVjNzgAciExTU4wSUlyOWJnRWN3eEJ6MW5Fbi1kTmJ5bjI2amxXNkk=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